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BFADF" w14:textId="5E9EA577" w:rsidR="002E632F" w:rsidRPr="00C344B5" w:rsidRDefault="002E632F" w:rsidP="00C344B5">
      <w:pPr>
        <w:pStyle w:val="3GPPHeader"/>
        <w:tabs>
          <w:tab w:val="clear" w:pos="1800"/>
          <w:tab w:val="clear" w:pos="9360"/>
          <w:tab w:val="left" w:pos="1580"/>
          <w:tab w:val="left" w:pos="2680"/>
        </w:tabs>
        <w:snapToGrid w:val="0"/>
        <w:rPr>
          <w:rFonts w:cs="Arial"/>
          <w:sz w:val="22"/>
        </w:rPr>
      </w:pPr>
      <w:bookmarkStart w:id="0" w:name="OLE_LINK2"/>
      <w:bookmarkStart w:id="1" w:name="OLE_LINK1"/>
      <w:bookmarkStart w:id="2" w:name="_GoBack"/>
      <w:bookmarkEnd w:id="2"/>
      <w:r w:rsidRPr="00C344B5">
        <w:rPr>
          <w:rFonts w:cs="Arial"/>
          <w:sz w:val="22"/>
        </w:rPr>
        <w:t>3GPP TSG RAN WG1 #113</w:t>
      </w:r>
      <w:r w:rsidRPr="00C344B5">
        <w:rPr>
          <w:rFonts w:cs="Arial"/>
          <w:sz w:val="22"/>
        </w:rPr>
        <w:tab/>
        <w:t xml:space="preserve">                   </w:t>
      </w:r>
      <w:r w:rsidR="00C344B5">
        <w:rPr>
          <w:rFonts w:cs="Arial"/>
          <w:sz w:val="22"/>
        </w:rPr>
        <w:t xml:space="preserve">                 </w:t>
      </w:r>
      <w:r w:rsidRPr="00C344B5">
        <w:rPr>
          <w:rFonts w:cs="Arial"/>
          <w:sz w:val="22"/>
        </w:rPr>
        <w:t xml:space="preserve">          R1-230</w:t>
      </w:r>
      <w:r w:rsidR="001310AF">
        <w:rPr>
          <w:rFonts w:cs="Arial"/>
          <w:sz w:val="22"/>
        </w:rPr>
        <w:t>5566</w:t>
      </w:r>
    </w:p>
    <w:p w14:paraId="47E41846" w14:textId="0E846CB5" w:rsidR="002E632F" w:rsidRPr="00C344B5" w:rsidRDefault="002E632F" w:rsidP="00C344B5">
      <w:pPr>
        <w:pStyle w:val="3GPPHeader"/>
        <w:tabs>
          <w:tab w:val="clear" w:pos="1800"/>
          <w:tab w:val="clear" w:pos="9360"/>
          <w:tab w:val="left" w:pos="1580"/>
          <w:tab w:val="left" w:pos="2680"/>
        </w:tabs>
        <w:snapToGrid w:val="0"/>
        <w:rPr>
          <w:rFonts w:cs="Arial"/>
          <w:sz w:val="22"/>
        </w:rPr>
      </w:pPr>
      <w:r w:rsidRPr="00C344B5">
        <w:rPr>
          <w:rFonts w:cs="Arial"/>
          <w:sz w:val="22"/>
        </w:rPr>
        <w:t xml:space="preserve">Incheon, Korea, May </w:t>
      </w:r>
      <w:r w:rsidR="00C344B5">
        <w:rPr>
          <w:rFonts w:cs="Arial"/>
          <w:sz w:val="22"/>
        </w:rPr>
        <w:t>22</w:t>
      </w:r>
      <w:r w:rsidR="00C344B5" w:rsidRPr="00C344B5">
        <w:rPr>
          <w:rFonts w:cs="Arial" w:hint="eastAsia"/>
          <w:sz w:val="22"/>
          <w:vertAlign w:val="superscript"/>
        </w:rPr>
        <w:t>nd</w:t>
      </w:r>
      <w:r w:rsidRPr="00C344B5">
        <w:rPr>
          <w:rFonts w:cs="Arial"/>
          <w:sz w:val="22"/>
        </w:rPr>
        <w:t xml:space="preserve"> – May 26</w:t>
      </w:r>
      <w:r w:rsidR="00C344B5" w:rsidRPr="00C344B5">
        <w:rPr>
          <w:rFonts w:cs="Arial"/>
          <w:sz w:val="22"/>
          <w:vertAlign w:val="superscript"/>
        </w:rPr>
        <w:t>th</w:t>
      </w:r>
      <w:r w:rsidRPr="00C344B5">
        <w:rPr>
          <w:rFonts w:cs="Arial"/>
          <w:sz w:val="22"/>
        </w:rPr>
        <w:t>, 2023</w:t>
      </w:r>
    </w:p>
    <w:p w14:paraId="20AD9BB4" w14:textId="77777777" w:rsidR="00B07019" w:rsidRDefault="00B07019">
      <w:pPr>
        <w:pStyle w:val="3GPPHeader"/>
        <w:snapToGrid w:val="0"/>
        <w:rPr>
          <w:rFonts w:cs="Arial"/>
          <w:sz w:val="22"/>
        </w:rPr>
      </w:pPr>
    </w:p>
    <w:p w14:paraId="3F3B0169"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55B1FBC0" w14:textId="6A944FD3" w:rsidR="00B07019" w:rsidRDefault="002C6A1F">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 xml:space="preserve">Discussion on </w:t>
      </w:r>
      <w:r w:rsidR="00B30FE9" w:rsidRPr="00B30FE9">
        <w:rPr>
          <w:rFonts w:cs="Arial"/>
          <w:sz w:val="22"/>
        </w:rPr>
        <w:t>LS on RACH-less Handover</w:t>
      </w:r>
    </w:p>
    <w:p w14:paraId="2813D017" w14:textId="7994D2C5" w:rsidR="00B07019" w:rsidRDefault="002C6A1F">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sidR="00F2403F">
        <w:rPr>
          <w:rFonts w:cs="Arial"/>
          <w:sz w:val="22"/>
        </w:rPr>
        <w:t>5</w:t>
      </w:r>
    </w:p>
    <w:p w14:paraId="1B22C5F2" w14:textId="77777777" w:rsidR="00B07019" w:rsidRDefault="002C6A1F">
      <w:pPr>
        <w:pBdr>
          <w:bottom w:val="single" w:sz="6" w:space="1" w:color="auto"/>
        </w:pBdr>
        <w:snapToGrid w:val="0"/>
        <w:jc w:val="both"/>
        <w:rPr>
          <w:rFonts w:ascii="Arial" w:hAnsi="Arial"/>
          <w:b/>
        </w:rPr>
      </w:pPr>
      <w:r>
        <w:rPr>
          <w:rFonts w:ascii="Arial" w:hAnsi="Arial"/>
          <w:b/>
        </w:rPr>
        <w:t>Document for: Discussion</w:t>
      </w:r>
      <w:bookmarkEnd w:id="0"/>
      <w:bookmarkEnd w:id="1"/>
    </w:p>
    <w:p w14:paraId="2010823F"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672F5AB1" w14:textId="1EB7231D" w:rsidR="00D01255" w:rsidRDefault="00F2403F"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RAN2 has sent the LS to RAN1 </w:t>
      </w:r>
      <w:r w:rsidR="00975FE1">
        <w:rPr>
          <w:rFonts w:ascii="Times New Roman" w:eastAsia="宋体" w:hAnsi="Times New Roman" w:cs="Times New Roman"/>
          <w:sz w:val="20"/>
          <w:szCs w:val="20"/>
        </w:rPr>
        <w:fldChar w:fldCharType="begin"/>
      </w:r>
      <w:r w:rsidR="00975FE1">
        <w:rPr>
          <w:rFonts w:ascii="Times New Roman" w:eastAsia="宋体" w:hAnsi="Times New Roman" w:cs="Times New Roman"/>
          <w:sz w:val="20"/>
          <w:szCs w:val="20"/>
        </w:rPr>
        <w:instrText xml:space="preserve"> REF _Ref134655403 \r \h </w:instrText>
      </w:r>
      <w:r w:rsidR="00975FE1">
        <w:rPr>
          <w:rFonts w:ascii="Times New Roman" w:eastAsia="宋体" w:hAnsi="Times New Roman" w:cs="Times New Roman"/>
          <w:sz w:val="20"/>
          <w:szCs w:val="20"/>
        </w:rPr>
      </w:r>
      <w:r w:rsidR="00975FE1">
        <w:rPr>
          <w:rFonts w:ascii="Times New Roman" w:eastAsia="宋体" w:hAnsi="Times New Roman" w:cs="Times New Roman"/>
          <w:sz w:val="20"/>
          <w:szCs w:val="20"/>
        </w:rPr>
        <w:fldChar w:fldCharType="separate"/>
      </w:r>
      <w:r w:rsidR="00975FE1">
        <w:rPr>
          <w:rFonts w:ascii="Times New Roman" w:eastAsia="宋体" w:hAnsi="Times New Roman" w:cs="Times New Roman"/>
          <w:sz w:val="20"/>
          <w:szCs w:val="20"/>
        </w:rPr>
        <w:t>[1]</w:t>
      </w:r>
      <w:r w:rsidR="00975FE1">
        <w:rPr>
          <w:rFonts w:ascii="Times New Roman" w:eastAsia="宋体" w:hAnsi="Times New Roman" w:cs="Times New Roman"/>
          <w:sz w:val="20"/>
          <w:szCs w:val="20"/>
        </w:rPr>
        <w:fldChar w:fldCharType="end"/>
      </w:r>
      <w:r w:rsidR="00975FE1">
        <w:rPr>
          <w:rFonts w:ascii="Times New Roman" w:eastAsia="宋体" w:hAnsi="Times New Roman" w:cs="Times New Roman"/>
          <w:sz w:val="20"/>
          <w:szCs w:val="20"/>
        </w:rPr>
        <w:t xml:space="preserve"> </w:t>
      </w:r>
      <w:r w:rsidR="00D01255">
        <w:rPr>
          <w:rFonts w:ascii="Times New Roman" w:eastAsia="宋体" w:hAnsi="Times New Roman" w:cs="Times New Roman"/>
          <w:sz w:val="20"/>
          <w:szCs w:val="20"/>
        </w:rPr>
        <w:t>with following content:</w:t>
      </w:r>
    </w:p>
    <w:tbl>
      <w:tblPr>
        <w:tblStyle w:val="af3"/>
        <w:tblW w:w="0" w:type="auto"/>
        <w:tblInd w:w="420" w:type="dxa"/>
        <w:tblLook w:val="04A0" w:firstRow="1" w:lastRow="0" w:firstColumn="1" w:lastColumn="0" w:noHBand="0" w:noVBand="1"/>
      </w:tblPr>
      <w:tblGrid>
        <w:gridCol w:w="8930"/>
      </w:tblGrid>
      <w:tr w:rsidR="00D01255" w14:paraId="671F24B3" w14:textId="77777777" w:rsidTr="00D01255">
        <w:tc>
          <w:tcPr>
            <w:tcW w:w="9350" w:type="dxa"/>
          </w:tcPr>
          <w:p w14:paraId="68FC4BC9" w14:textId="77777777" w:rsidR="00B30FE9" w:rsidRPr="00B30FE9" w:rsidRDefault="00B30FE9" w:rsidP="00B30FE9">
            <w:pPr>
              <w:spacing w:beforeLines="100" w:before="240"/>
              <w:jc w:val="both"/>
              <w:rPr>
                <w:rFonts w:ascii="Times New Roman" w:eastAsia="宋体" w:hAnsi="Times New Roman" w:cs="Times New Roman"/>
                <w:sz w:val="20"/>
                <w:szCs w:val="20"/>
              </w:rPr>
            </w:pPr>
            <w:r w:rsidRPr="00B30FE9">
              <w:rPr>
                <w:rFonts w:ascii="Times New Roman" w:eastAsia="宋体" w:hAnsi="Times New Roman" w:cs="Times New Roman"/>
                <w:sz w:val="20"/>
                <w:szCs w:val="20"/>
              </w:rPr>
              <w:t>RAN2 has also identified some issues which are more relevant to RAN1 and would like to check RAN1 views on the following aspects for NTN RACH-less HO.</w:t>
            </w:r>
          </w:p>
          <w:p w14:paraId="31F45049" w14:textId="77777777" w:rsidR="00B30FE9" w:rsidRPr="00B30FE9" w:rsidRDefault="00B30FE9" w:rsidP="00B30FE9">
            <w:pPr>
              <w:spacing w:beforeLines="100" w:before="240"/>
              <w:jc w:val="both"/>
              <w:rPr>
                <w:rFonts w:ascii="Times New Roman" w:eastAsia="宋体" w:hAnsi="Times New Roman" w:cs="Times New Roman"/>
                <w:sz w:val="20"/>
                <w:szCs w:val="20"/>
              </w:rPr>
            </w:pPr>
            <w:r w:rsidRPr="00B30FE9">
              <w:rPr>
                <w:rFonts w:ascii="Times New Roman" w:eastAsia="宋体" w:hAnsi="Times New Roman" w:cs="Times New Roman"/>
                <w:sz w:val="20"/>
                <w:szCs w:val="20"/>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04B8DA70" w14:textId="77777777" w:rsidR="00B30FE9" w:rsidRPr="00B30FE9" w:rsidRDefault="00B30FE9" w:rsidP="00B30FE9">
            <w:pPr>
              <w:spacing w:beforeLines="100" w:before="240"/>
              <w:jc w:val="both"/>
              <w:rPr>
                <w:rFonts w:ascii="Times New Roman" w:eastAsia="宋体" w:hAnsi="Times New Roman" w:cs="Times New Roman"/>
                <w:sz w:val="20"/>
                <w:szCs w:val="20"/>
              </w:rPr>
            </w:pPr>
            <w:r w:rsidRPr="00B30FE9">
              <w:rPr>
                <w:rFonts w:ascii="Times New Roman" w:eastAsia="宋体" w:hAnsi="Times New Roman" w:cs="Times New Roman"/>
                <w:sz w:val="20"/>
                <w:szCs w:val="20"/>
              </w:rPr>
              <w:tab/>
              <w:t>2. To monitor target cell PDCCH for dynamic grant for initial UL transmission, whether beam selection is needed (e.g., performed by NW with selected beam(s) indicated, or performed by UE)?</w:t>
            </w:r>
          </w:p>
          <w:p w14:paraId="56391673" w14:textId="42A0ACF7" w:rsidR="00D01255" w:rsidRPr="00B30FE9" w:rsidRDefault="00B30FE9" w:rsidP="00B30FE9">
            <w:pPr>
              <w:spacing w:beforeLines="100" w:before="240"/>
              <w:jc w:val="both"/>
              <w:rPr>
                <w:rFonts w:eastAsia="宋体"/>
              </w:rPr>
            </w:pPr>
            <w:r w:rsidRPr="00B30FE9">
              <w:rPr>
                <w:rFonts w:ascii="Times New Roman" w:eastAsia="宋体" w:hAnsi="Times New Roman" w:cs="Times New Roman"/>
                <w:sz w:val="20"/>
                <w:szCs w:val="20"/>
              </w:rPr>
              <w:tab/>
              <w:t>3. Regarding the power control for initial UL transmission, whether it follows the rules specified for PUSCH scheduled by Random Access grant or by configured grant or others?</w:t>
            </w:r>
          </w:p>
        </w:tc>
      </w:tr>
    </w:tbl>
    <w:p w14:paraId="1B8F8C5C" w14:textId="6255AAD2" w:rsidR="00B07019" w:rsidRDefault="00DB10D7" w:rsidP="00C344B5">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required action in RAN1 to </w:t>
      </w:r>
      <w:r w:rsidR="00174A24" w:rsidRPr="00174A24">
        <w:rPr>
          <w:rFonts w:ascii="Times New Roman" w:eastAsia="宋体" w:hAnsi="Times New Roman" w:cs="Times New Roman"/>
          <w:sz w:val="20"/>
          <w:szCs w:val="20"/>
        </w:rPr>
        <w:t xml:space="preserve">provide </w:t>
      </w:r>
      <w:r w:rsidR="00B30FE9">
        <w:rPr>
          <w:rFonts w:ascii="Times New Roman" w:eastAsia="宋体" w:hAnsi="Times New Roman" w:cs="Times New Roman"/>
          <w:sz w:val="20"/>
          <w:szCs w:val="20"/>
        </w:rPr>
        <w:t>responses</w:t>
      </w:r>
      <w:r w:rsidR="00174A24" w:rsidRPr="00174A24">
        <w:rPr>
          <w:rFonts w:ascii="Times New Roman" w:eastAsia="宋体" w:hAnsi="Times New Roman" w:cs="Times New Roman"/>
          <w:sz w:val="20"/>
          <w:szCs w:val="20"/>
        </w:rPr>
        <w:t xml:space="preserve"> </w:t>
      </w:r>
      <w:r w:rsidR="00B30FE9">
        <w:rPr>
          <w:rFonts w:ascii="Times New Roman" w:eastAsia="宋体" w:hAnsi="Times New Roman" w:cs="Times New Roman"/>
          <w:sz w:val="20"/>
          <w:szCs w:val="20"/>
        </w:rPr>
        <w:t>to above questions</w:t>
      </w:r>
      <w:r w:rsidR="00174A24" w:rsidRPr="00174A24">
        <w:rPr>
          <w:rFonts w:ascii="Times New Roman" w:eastAsia="宋体" w:hAnsi="Times New Roman" w:cs="Times New Roman"/>
          <w:sz w:val="20"/>
          <w:szCs w:val="20"/>
        </w:rPr>
        <w:t>.</w:t>
      </w:r>
      <w:r w:rsidR="00174A24">
        <w:rPr>
          <w:rFonts w:ascii="Times New Roman" w:eastAsia="宋体" w:hAnsi="Times New Roman" w:cs="Times New Roman"/>
          <w:sz w:val="20"/>
          <w:szCs w:val="20"/>
        </w:rPr>
        <w:t xml:space="preserve"> In this contribution, detailed views are shared.</w:t>
      </w:r>
    </w:p>
    <w:p w14:paraId="231AB2DD" w14:textId="6DEE9B75" w:rsidR="003D4931" w:rsidRPr="003D4931" w:rsidRDefault="003D4931" w:rsidP="003D493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B30FE9" w:rsidRPr="00B30FE9">
        <w:rPr>
          <w:rFonts w:eastAsia="黑体" w:cs="Times New Roman"/>
          <w:b/>
          <w:bCs/>
          <w:sz w:val="28"/>
          <w:szCs w:val="30"/>
          <w:lang w:val="en-US"/>
        </w:rPr>
        <w:t>RACH-less Handover</w:t>
      </w:r>
    </w:p>
    <w:p w14:paraId="681DDCA0" w14:textId="3DBAA000" w:rsidR="00B30FE9" w:rsidRPr="007A5D46" w:rsidRDefault="00B30FE9" w:rsidP="00B30FE9">
      <w:pPr>
        <w:ind w:leftChars="200" w:left="440"/>
        <w:rPr>
          <w:rFonts w:ascii="Times New Roman" w:eastAsia="宋体" w:hAnsi="Times New Roman" w:cs="Times New Roman"/>
          <w:sz w:val="20"/>
          <w:szCs w:val="20"/>
        </w:rPr>
      </w:pPr>
      <w:r w:rsidRPr="007A5D46">
        <w:rPr>
          <w:rFonts w:ascii="Times New Roman" w:eastAsia="宋体" w:hAnsi="Times New Roman" w:cs="Times New Roman" w:hint="eastAsia"/>
          <w:b/>
          <w:sz w:val="20"/>
          <w:szCs w:val="20"/>
        </w:rPr>
        <w:t>Q</w:t>
      </w:r>
      <w:r w:rsidRPr="007A5D46">
        <w:rPr>
          <w:rFonts w:ascii="Times New Roman" w:eastAsia="宋体" w:hAnsi="Times New Roman" w:cs="Times New Roman"/>
          <w:b/>
          <w:sz w:val="20"/>
          <w:szCs w:val="20"/>
        </w:rPr>
        <w:t>uestion 1</w:t>
      </w:r>
      <w:r w:rsidRPr="007A5D46">
        <w:rPr>
          <w:rFonts w:ascii="Times New Roman" w:eastAsia="宋体" w:hAnsi="Times New Roman" w:cs="Times New Roman"/>
          <w:sz w:val="20"/>
          <w:szCs w:val="20"/>
        </w:rPr>
        <w:t>:</w:t>
      </w:r>
      <w:r w:rsidRPr="007A5D46">
        <w:rPr>
          <w:rFonts w:ascii="Times New Roman" w:eastAsia="宋体" w:hAnsi="Times New Roman" w:cs="Times New Roman" w:hint="eastAsia"/>
          <w:sz w:val="20"/>
          <w:szCs w:val="20"/>
        </w:rPr>
        <w:t xml:space="preserve"> </w:t>
      </w:r>
      <w:r w:rsidRPr="00B30FE9">
        <w:rPr>
          <w:rFonts w:ascii="Times New Roman" w:eastAsia="宋体" w:hAnsi="Times New Roman" w:cs="Times New Roman"/>
          <w:sz w:val="20"/>
          <w:szCs w:val="20"/>
        </w:rPr>
        <w:t>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r w:rsidRPr="007A5D46">
        <w:rPr>
          <w:rFonts w:ascii="Times New Roman" w:eastAsia="宋体" w:hAnsi="Times New Roman" w:cs="Times New Roman"/>
          <w:sz w:val="20"/>
          <w:szCs w:val="20"/>
        </w:rPr>
        <w:t xml:space="preserve">  </w:t>
      </w:r>
    </w:p>
    <w:p w14:paraId="0CAB324B" w14:textId="46C3C826" w:rsidR="001D6198" w:rsidRDefault="00C072E0" w:rsidP="0007097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In the TN system, normally, each SSB may be associated to the different beams (e.g., digital or analog) and the received signaling quality can be different due to complicated propagation channel condition, e.g., blockage of signal for certain direction. However, i</w:t>
      </w:r>
      <w:r w:rsidR="00B30FE9">
        <w:rPr>
          <w:rFonts w:ascii="Times New Roman" w:eastAsia="宋体" w:hAnsi="Times New Roman" w:cs="Times New Roman"/>
          <w:sz w:val="20"/>
          <w:szCs w:val="20"/>
        </w:rPr>
        <w:t>n NTN</w:t>
      </w:r>
      <w:r w:rsidR="000F62F0">
        <w:rPr>
          <w:rFonts w:ascii="Times New Roman" w:eastAsia="宋体" w:hAnsi="Times New Roman" w:cs="Times New Roman"/>
          <w:sz w:val="20"/>
          <w:szCs w:val="20"/>
        </w:rPr>
        <w:t xml:space="preserve"> case,</w:t>
      </w:r>
      <w:r w:rsidR="0051093A">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w:t>
      </w:r>
      <w:r w:rsidR="00150690">
        <w:rPr>
          <w:rFonts w:ascii="Times New Roman" w:eastAsia="宋体" w:hAnsi="Times New Roman" w:cs="Times New Roman"/>
          <w:sz w:val="20"/>
          <w:szCs w:val="20"/>
        </w:rPr>
        <w:t xml:space="preserve">hen </w:t>
      </w:r>
      <w:r>
        <w:rPr>
          <w:rFonts w:ascii="Times New Roman" w:eastAsia="宋体" w:hAnsi="Times New Roman" w:cs="Times New Roman"/>
          <w:sz w:val="20"/>
          <w:szCs w:val="20"/>
        </w:rPr>
        <w:t xml:space="preserve">one or multiple </w:t>
      </w:r>
      <w:r w:rsidR="00150690">
        <w:rPr>
          <w:rFonts w:ascii="Times New Roman" w:eastAsia="宋体" w:hAnsi="Times New Roman" w:cs="Times New Roman"/>
          <w:sz w:val="20"/>
          <w:szCs w:val="20"/>
        </w:rPr>
        <w:t>SSB</w:t>
      </w:r>
      <w:r w:rsidR="003A207D">
        <w:rPr>
          <w:rFonts w:ascii="Times New Roman" w:eastAsia="宋体" w:hAnsi="Times New Roman" w:cs="Times New Roman"/>
          <w:sz w:val="20"/>
          <w:szCs w:val="20"/>
        </w:rPr>
        <w:t>s</w:t>
      </w:r>
      <w:r w:rsidR="00150690">
        <w:rPr>
          <w:rFonts w:ascii="Times New Roman" w:eastAsia="宋体" w:hAnsi="Times New Roman" w:cs="Times New Roman"/>
          <w:sz w:val="20"/>
          <w:szCs w:val="20"/>
        </w:rPr>
        <w:t xml:space="preserve"> </w:t>
      </w:r>
      <w:r w:rsidR="003A207D">
        <w:rPr>
          <w:rFonts w:ascii="Times New Roman" w:eastAsia="宋体" w:hAnsi="Times New Roman" w:cs="Times New Roman"/>
          <w:sz w:val="20"/>
          <w:szCs w:val="20"/>
        </w:rPr>
        <w:t>are</w:t>
      </w:r>
      <w:r w:rsidR="00150690">
        <w:rPr>
          <w:rFonts w:ascii="Times New Roman" w:eastAsia="宋体" w:hAnsi="Times New Roman" w:cs="Times New Roman"/>
          <w:sz w:val="20"/>
          <w:szCs w:val="20"/>
        </w:rPr>
        <w:t xml:space="preserve"> associated with </w:t>
      </w:r>
      <w:r>
        <w:rPr>
          <w:rFonts w:ascii="Times New Roman" w:eastAsia="宋体" w:hAnsi="Times New Roman" w:cs="Times New Roman"/>
          <w:sz w:val="20"/>
          <w:szCs w:val="20"/>
        </w:rPr>
        <w:t xml:space="preserve">one </w:t>
      </w:r>
      <w:r w:rsidR="00150690">
        <w:rPr>
          <w:rFonts w:ascii="Times New Roman" w:eastAsia="宋体" w:hAnsi="Times New Roman" w:cs="Times New Roman"/>
          <w:sz w:val="20"/>
          <w:szCs w:val="20"/>
        </w:rPr>
        <w:t>beam</w:t>
      </w:r>
      <w:r w:rsidR="00B30FE9">
        <w:rPr>
          <w:rFonts w:ascii="Times New Roman" w:eastAsia="宋体" w:hAnsi="Times New Roman" w:cs="Times New Roman"/>
          <w:sz w:val="20"/>
          <w:szCs w:val="20"/>
        </w:rPr>
        <w:t xml:space="preserve">, </w:t>
      </w:r>
      <w:r w:rsidR="00B87A7E">
        <w:rPr>
          <w:rFonts w:ascii="Times New Roman" w:eastAsia="宋体" w:hAnsi="Times New Roman" w:cs="Times New Roman"/>
          <w:sz w:val="20"/>
          <w:szCs w:val="20"/>
        </w:rPr>
        <w:t xml:space="preserve">the </w:t>
      </w:r>
      <w:r w:rsidR="00B30FE9">
        <w:rPr>
          <w:rFonts w:ascii="Times New Roman" w:eastAsia="宋体" w:hAnsi="Times New Roman" w:cs="Times New Roman"/>
          <w:sz w:val="20"/>
          <w:szCs w:val="20"/>
        </w:rPr>
        <w:t xml:space="preserve">UE is not </w:t>
      </w:r>
      <w:r w:rsidR="00150690">
        <w:rPr>
          <w:rFonts w:ascii="Times New Roman" w:eastAsia="宋体" w:hAnsi="Times New Roman" w:cs="Times New Roman"/>
          <w:sz w:val="20"/>
          <w:szCs w:val="20"/>
        </w:rPr>
        <w:t>expected</w:t>
      </w:r>
      <w:r w:rsidR="00B30FE9">
        <w:rPr>
          <w:rFonts w:ascii="Times New Roman" w:eastAsia="宋体" w:hAnsi="Times New Roman" w:cs="Times New Roman"/>
          <w:sz w:val="20"/>
          <w:szCs w:val="20"/>
        </w:rPr>
        <w:t xml:space="preserve"> to detect multiple </w:t>
      </w:r>
      <w:r w:rsidR="00150690">
        <w:rPr>
          <w:rFonts w:ascii="Times New Roman" w:eastAsia="宋体" w:hAnsi="Times New Roman" w:cs="Times New Roman"/>
          <w:sz w:val="20"/>
          <w:szCs w:val="20"/>
        </w:rPr>
        <w:t>SSBs</w:t>
      </w:r>
      <w:r w:rsidR="003A207D">
        <w:rPr>
          <w:rFonts w:ascii="Times New Roman" w:eastAsia="宋体" w:hAnsi="Times New Roman" w:cs="Times New Roman"/>
          <w:sz w:val="20"/>
          <w:szCs w:val="20"/>
        </w:rPr>
        <w:t xml:space="preserve"> </w:t>
      </w:r>
      <w:r w:rsidR="00B87A7E">
        <w:rPr>
          <w:rFonts w:ascii="Times New Roman" w:eastAsia="宋体" w:hAnsi="Times New Roman" w:cs="Times New Roman" w:hint="eastAsia"/>
          <w:sz w:val="20"/>
          <w:szCs w:val="20"/>
        </w:rPr>
        <w:t>with</w:t>
      </w:r>
      <w:r w:rsidR="00B87A7E">
        <w:rPr>
          <w:rFonts w:ascii="Times New Roman" w:eastAsia="宋体" w:hAnsi="Times New Roman" w:cs="Times New Roman"/>
          <w:sz w:val="20"/>
          <w:szCs w:val="20"/>
        </w:rPr>
        <w:t xml:space="preserve"> different signal quality </w:t>
      </w:r>
      <w:r w:rsidR="00150690">
        <w:rPr>
          <w:rFonts w:ascii="Times New Roman" w:eastAsia="宋体" w:hAnsi="Times New Roman" w:cs="Times New Roman"/>
          <w:sz w:val="20"/>
          <w:szCs w:val="20"/>
        </w:rPr>
        <w:t>during HO</w:t>
      </w:r>
      <w:r w:rsidR="00B30FE9">
        <w:rPr>
          <w:rFonts w:ascii="Times New Roman" w:eastAsia="宋体" w:hAnsi="Times New Roman" w:cs="Times New Roman"/>
          <w:sz w:val="20"/>
          <w:szCs w:val="20"/>
        </w:rPr>
        <w:t xml:space="preserve">. </w:t>
      </w:r>
      <w:r w:rsidR="00B87A7E">
        <w:rPr>
          <w:rFonts w:ascii="Times New Roman" w:eastAsia="宋体" w:hAnsi="Times New Roman" w:cs="Times New Roman"/>
          <w:sz w:val="20"/>
          <w:szCs w:val="20"/>
        </w:rPr>
        <w:t xml:space="preserve">For example, </w:t>
      </w:r>
      <w:r w:rsidR="00070972">
        <w:rPr>
          <w:rFonts w:ascii="Times New Roman" w:eastAsia="宋体" w:hAnsi="Times New Roman" w:cs="Times New Roman"/>
          <w:sz w:val="20"/>
          <w:szCs w:val="20"/>
        </w:rPr>
        <w:t>in case that</w:t>
      </w:r>
      <w:r w:rsidR="00B87A7E">
        <w:rPr>
          <w:rFonts w:ascii="Times New Roman" w:eastAsia="宋体" w:hAnsi="Times New Roman" w:cs="Times New Roman"/>
          <w:sz w:val="20"/>
          <w:szCs w:val="20"/>
        </w:rPr>
        <w:t xml:space="preserve"> </w:t>
      </w:r>
      <w:r w:rsidR="0051093A">
        <w:rPr>
          <w:rFonts w:ascii="Times New Roman" w:eastAsia="宋体" w:hAnsi="Times New Roman" w:cs="Times New Roman"/>
          <w:sz w:val="20"/>
          <w:szCs w:val="20"/>
        </w:rPr>
        <w:t>single SSB is mapped to one beam,</w:t>
      </w:r>
      <w:r w:rsidR="006B58DB">
        <w:rPr>
          <w:rFonts w:ascii="Times New Roman" w:eastAsia="宋体" w:hAnsi="Times New Roman" w:cs="Times New Roman"/>
          <w:sz w:val="20"/>
          <w:szCs w:val="20"/>
        </w:rPr>
        <w:t xml:space="preserve"> since</w:t>
      </w:r>
      <w:r w:rsidR="0051093A">
        <w:rPr>
          <w:rFonts w:ascii="Times New Roman" w:eastAsia="宋体" w:hAnsi="Times New Roman" w:cs="Times New Roman"/>
          <w:sz w:val="20"/>
          <w:szCs w:val="20"/>
        </w:rPr>
        <w:t xml:space="preserve"> </w:t>
      </w:r>
      <w:r w:rsidR="006B58DB">
        <w:rPr>
          <w:rFonts w:ascii="Times New Roman" w:eastAsia="宋体" w:hAnsi="Times New Roman" w:cs="Times New Roman"/>
          <w:sz w:val="20"/>
          <w:szCs w:val="20"/>
        </w:rPr>
        <w:t>the beam coverage is much larger than TN and different frequency reuse pattern is considered among beams,</w:t>
      </w:r>
      <w:r w:rsidR="00070972">
        <w:rPr>
          <w:rFonts w:ascii="Times New Roman" w:eastAsia="宋体" w:hAnsi="Times New Roman" w:cs="Times New Roman"/>
          <w:sz w:val="20"/>
          <w:szCs w:val="20"/>
        </w:rPr>
        <w:t xml:space="preserve"> the detectable SSB at certain location will represent the proper beam for following communication. If multiple SSBs are mapped to one beam, since same </w:t>
      </w:r>
      <w:r w:rsidR="00070972">
        <w:rPr>
          <w:rFonts w:ascii="Times New Roman" w:eastAsia="宋体" w:hAnsi="Times New Roman" w:cs="Times New Roman" w:hint="eastAsia"/>
          <w:sz w:val="20"/>
          <w:szCs w:val="20"/>
        </w:rPr>
        <w:t>satellite</w:t>
      </w:r>
      <w:r w:rsidR="00070972">
        <w:rPr>
          <w:rFonts w:ascii="Times New Roman" w:eastAsia="宋体" w:hAnsi="Times New Roman" w:cs="Times New Roman"/>
          <w:sz w:val="20"/>
          <w:szCs w:val="20"/>
        </w:rPr>
        <w:t xml:space="preserve"> </w:t>
      </w:r>
      <w:r w:rsidR="00070972">
        <w:rPr>
          <w:rFonts w:ascii="Times New Roman" w:eastAsia="宋体" w:hAnsi="Times New Roman" w:cs="Times New Roman" w:hint="eastAsia"/>
          <w:sz w:val="20"/>
          <w:szCs w:val="20"/>
        </w:rPr>
        <w:t>set-up</w:t>
      </w:r>
      <w:r w:rsidR="00070972">
        <w:rPr>
          <w:rFonts w:ascii="Times New Roman" w:eastAsia="宋体" w:hAnsi="Times New Roman" w:cs="Times New Roman"/>
          <w:sz w:val="20"/>
          <w:szCs w:val="20"/>
        </w:rPr>
        <w:t xml:space="preserve"> an</w:t>
      </w:r>
      <w:r w:rsidR="00070972">
        <w:rPr>
          <w:rFonts w:ascii="Times New Roman" w:eastAsia="宋体" w:hAnsi="Times New Roman" w:cs="Times New Roman" w:hint="eastAsia"/>
          <w:sz w:val="20"/>
          <w:szCs w:val="20"/>
        </w:rPr>
        <w:t>d</w:t>
      </w:r>
      <w:r w:rsidR="00070972">
        <w:rPr>
          <w:rFonts w:ascii="Times New Roman" w:eastAsia="宋体" w:hAnsi="Times New Roman" w:cs="Times New Roman"/>
          <w:sz w:val="20"/>
          <w:szCs w:val="20"/>
        </w:rPr>
        <w:t xml:space="preserve"> </w:t>
      </w:r>
      <w:r w:rsidR="00070972">
        <w:rPr>
          <w:rFonts w:ascii="Times New Roman" w:eastAsia="宋体" w:hAnsi="Times New Roman" w:cs="Times New Roman" w:hint="eastAsia"/>
          <w:sz w:val="20"/>
          <w:szCs w:val="20"/>
        </w:rPr>
        <w:t>propagation</w:t>
      </w:r>
      <w:r w:rsidR="00070972">
        <w:rPr>
          <w:rFonts w:ascii="Times New Roman" w:eastAsia="宋体" w:hAnsi="Times New Roman" w:cs="Times New Roman"/>
          <w:sz w:val="20"/>
          <w:szCs w:val="20"/>
        </w:rPr>
        <w:t xml:space="preserve"> is shared, the channel quality will be always same. Then, it’s clear that </w:t>
      </w:r>
      <w:r w:rsidR="00150690">
        <w:rPr>
          <w:rFonts w:ascii="Times New Roman" w:eastAsia="宋体" w:hAnsi="Times New Roman" w:cs="Times New Roman"/>
          <w:sz w:val="20"/>
          <w:szCs w:val="20"/>
        </w:rPr>
        <w:t xml:space="preserve">UE does not need to perform SSB selection in RACH-less HO. </w:t>
      </w:r>
    </w:p>
    <w:p w14:paraId="74BD7DD8" w14:textId="5FE23DC2" w:rsidR="00B30FE9" w:rsidRDefault="001D6198" w:rsidP="0007097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Regarding whether the resource will be mapped to SSBs, the necessity seems also limited</w:t>
      </w:r>
      <w:r w:rsidR="00150690">
        <w:rPr>
          <w:rFonts w:ascii="Times New Roman" w:eastAsia="宋体" w:hAnsi="Times New Roman" w:cs="Times New Roman"/>
          <w:sz w:val="20"/>
          <w:szCs w:val="20"/>
        </w:rPr>
        <w:t>.</w:t>
      </w:r>
    </w:p>
    <w:p w14:paraId="07AEAA50" w14:textId="06CCC1AB" w:rsidR="00150690" w:rsidRDefault="00150690" w:rsidP="00150690">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For NTN RACH-less HO, </w:t>
      </w:r>
      <w:r w:rsidR="00E175AB">
        <w:rPr>
          <w:rFonts w:ascii="Times New Roman" w:eastAsia="宋体" w:hAnsi="Times New Roman"/>
          <w:bCs/>
          <w:i/>
          <w:sz w:val="20"/>
          <w:szCs w:val="20"/>
        </w:rPr>
        <w:t xml:space="preserve">both SSB-selection and association of resource with </w:t>
      </w:r>
      <w:r>
        <w:rPr>
          <w:rFonts w:ascii="Times New Roman" w:eastAsia="宋体" w:hAnsi="Times New Roman"/>
          <w:bCs/>
          <w:i/>
          <w:sz w:val="20"/>
          <w:szCs w:val="20"/>
        </w:rPr>
        <w:t>SSB(s)</w:t>
      </w:r>
      <w:r w:rsidR="00E175AB">
        <w:rPr>
          <w:rFonts w:ascii="Times New Roman" w:eastAsia="宋体" w:hAnsi="Times New Roman"/>
          <w:bCs/>
          <w:i/>
          <w:sz w:val="20"/>
          <w:szCs w:val="20"/>
        </w:rPr>
        <w:t xml:space="preserve"> are not needed.</w:t>
      </w:r>
    </w:p>
    <w:p w14:paraId="490308A3" w14:textId="74E2C51C" w:rsidR="00B30FE9" w:rsidRDefault="003A207D" w:rsidP="00B30FE9">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sidRPr="007A5D46">
        <w:rPr>
          <w:rFonts w:ascii="Times New Roman" w:eastAsia="宋体" w:hAnsi="Times New Roman" w:cs="Times New Roman" w:hint="eastAsia"/>
          <w:b/>
          <w:sz w:val="20"/>
          <w:szCs w:val="20"/>
        </w:rPr>
        <w:t>Q</w:t>
      </w:r>
      <w:r w:rsidRPr="007A5D46">
        <w:rPr>
          <w:rFonts w:ascii="Times New Roman" w:eastAsia="宋体" w:hAnsi="Times New Roman" w:cs="Times New Roman"/>
          <w:b/>
          <w:sz w:val="20"/>
          <w:szCs w:val="20"/>
        </w:rPr>
        <w:t xml:space="preserve">uestion </w:t>
      </w:r>
      <w:r>
        <w:rPr>
          <w:rFonts w:ascii="Times New Roman" w:eastAsia="宋体" w:hAnsi="Times New Roman" w:cs="Times New Roman"/>
          <w:b/>
          <w:sz w:val="20"/>
          <w:szCs w:val="20"/>
        </w:rPr>
        <w:t>2</w:t>
      </w:r>
      <w:r w:rsidRPr="007A5D46">
        <w:rPr>
          <w:rFonts w:ascii="Times New Roman" w:eastAsia="宋体" w:hAnsi="Times New Roman" w:cs="Times New Roman"/>
          <w:sz w:val="20"/>
          <w:szCs w:val="20"/>
        </w:rPr>
        <w:t>:</w:t>
      </w:r>
      <w:r w:rsidRPr="007A5D46">
        <w:rPr>
          <w:rFonts w:ascii="Times New Roman" w:eastAsia="宋体" w:hAnsi="Times New Roman" w:cs="Times New Roman" w:hint="eastAsia"/>
          <w:sz w:val="20"/>
          <w:szCs w:val="20"/>
        </w:rPr>
        <w:t xml:space="preserve"> </w:t>
      </w:r>
      <w:r w:rsidRPr="00B30FE9">
        <w:rPr>
          <w:rFonts w:ascii="Times New Roman" w:eastAsia="宋体" w:hAnsi="Times New Roman" w:cs="Times New Roman"/>
          <w:sz w:val="20"/>
          <w:szCs w:val="20"/>
        </w:rPr>
        <w:t>To monitor target cell PDCCH for dynamic grant for initial UL transmission, whether beam selection is needed (e.g., performed by NW with selected beam(s) indicated, or performed by UE)?</w:t>
      </w:r>
    </w:p>
    <w:p w14:paraId="4067312B" w14:textId="782E7131" w:rsidR="003A207D" w:rsidRDefault="003A207D" w:rsidP="00B30FE9">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commented in the response for Question 1, UE is not expected to detect multiple beams in NTN due to large beam coverage. Therefore, there is no need of beam selection to monitor </w:t>
      </w:r>
      <w:r w:rsidR="00E175AB">
        <w:rPr>
          <w:rFonts w:ascii="Times New Roman" w:eastAsia="宋体" w:hAnsi="Times New Roman" w:cs="Times New Roman"/>
          <w:sz w:val="20"/>
          <w:szCs w:val="20"/>
        </w:rPr>
        <w:t>target</w:t>
      </w:r>
      <w:r>
        <w:rPr>
          <w:rFonts w:ascii="Times New Roman" w:eastAsia="宋体" w:hAnsi="Times New Roman" w:cs="Times New Roman"/>
          <w:sz w:val="20"/>
          <w:szCs w:val="20"/>
        </w:rPr>
        <w:t xml:space="preserve"> cell PDCCH for dynamic grant for initial UL transmission.</w:t>
      </w:r>
    </w:p>
    <w:p w14:paraId="4D6235C3" w14:textId="1E60FF69" w:rsidR="003A207D" w:rsidRDefault="003A207D" w:rsidP="003A207D">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Beam selection is not needed to </w:t>
      </w:r>
      <w:r w:rsidRPr="00B30FE9">
        <w:rPr>
          <w:rFonts w:ascii="Times New Roman" w:eastAsia="宋体" w:hAnsi="Times New Roman" w:cs="Times New Roman"/>
          <w:sz w:val="20"/>
          <w:szCs w:val="20"/>
        </w:rPr>
        <w:t>monitor target cell PDCCH for dynamic grant for initial UL transmission</w:t>
      </w:r>
      <w:r>
        <w:rPr>
          <w:rFonts w:ascii="Times New Roman" w:eastAsia="宋体" w:hAnsi="Times New Roman" w:hint="eastAsia"/>
          <w:bCs/>
          <w:i/>
          <w:sz w:val="20"/>
          <w:szCs w:val="20"/>
        </w:rPr>
        <w:t>.</w:t>
      </w:r>
    </w:p>
    <w:p w14:paraId="7C1E8558" w14:textId="69ACE6AE" w:rsidR="003A207D" w:rsidRDefault="003A207D" w:rsidP="003A207D">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sidRPr="007A5D46">
        <w:rPr>
          <w:rFonts w:ascii="Times New Roman" w:eastAsia="宋体" w:hAnsi="Times New Roman" w:cs="Times New Roman" w:hint="eastAsia"/>
          <w:b/>
          <w:sz w:val="20"/>
          <w:szCs w:val="20"/>
        </w:rPr>
        <w:t>Q</w:t>
      </w:r>
      <w:r w:rsidRPr="007A5D46">
        <w:rPr>
          <w:rFonts w:ascii="Times New Roman" w:eastAsia="宋体" w:hAnsi="Times New Roman" w:cs="Times New Roman"/>
          <w:b/>
          <w:sz w:val="20"/>
          <w:szCs w:val="20"/>
        </w:rPr>
        <w:t xml:space="preserve">uestion </w:t>
      </w:r>
      <w:r>
        <w:rPr>
          <w:rFonts w:ascii="Times New Roman" w:eastAsia="宋体" w:hAnsi="Times New Roman" w:cs="Times New Roman"/>
          <w:b/>
          <w:sz w:val="20"/>
          <w:szCs w:val="20"/>
        </w:rPr>
        <w:t>3</w:t>
      </w:r>
      <w:r w:rsidRPr="007A5D46">
        <w:rPr>
          <w:rFonts w:ascii="Times New Roman" w:eastAsia="宋体" w:hAnsi="Times New Roman" w:cs="Times New Roman"/>
          <w:sz w:val="20"/>
          <w:szCs w:val="20"/>
        </w:rPr>
        <w:t>:</w:t>
      </w:r>
      <w:r w:rsidRPr="007A5D46">
        <w:rPr>
          <w:rFonts w:ascii="Times New Roman" w:eastAsia="宋体" w:hAnsi="Times New Roman" w:cs="Times New Roman" w:hint="eastAsia"/>
          <w:sz w:val="20"/>
          <w:szCs w:val="20"/>
        </w:rPr>
        <w:t xml:space="preserve"> </w:t>
      </w:r>
      <w:r w:rsidRPr="003A207D">
        <w:rPr>
          <w:rFonts w:ascii="Times New Roman" w:eastAsia="宋体" w:hAnsi="Times New Roman" w:cs="Times New Roman"/>
          <w:sz w:val="20"/>
          <w:szCs w:val="20"/>
        </w:rPr>
        <w:t>Regarding the power control for initial UL transmission, whether it follows the rules specified for PUSCH scheduled by Random Access grant or by configured grant or others?</w:t>
      </w:r>
    </w:p>
    <w:p w14:paraId="7506E3BE" w14:textId="2E1B14A2" w:rsidR="00CB1C5E" w:rsidRDefault="000570EB" w:rsidP="00CB1C5E">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sidR="0009636E">
        <w:rPr>
          <w:rFonts w:ascii="Times New Roman" w:eastAsia="宋体" w:hAnsi="Times New Roman" w:cs="Times New Roman"/>
          <w:sz w:val="20"/>
          <w:szCs w:val="20"/>
        </w:rPr>
        <w:t>legacy HO with RACH, the power control for PUSCH scheduled by Random Access grant will be followed for initial UL transmission. In RACH-less HO, the main difference is that the RACH procedure is not needed to achieve UL synchronization due to UE pre-compensation. While for power control, similar rule as in legacy HO should be followed. Hence, in our view, the power control rules for PUSCH scheduled by Random Access grant should be followed for initial UL transmission in RACH-less handover.</w:t>
      </w:r>
    </w:p>
    <w:p w14:paraId="169BB549" w14:textId="2C79A3B6" w:rsidR="0009636E" w:rsidRDefault="0009636E" w:rsidP="0009636E">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Regarding power control for initial UL transmission in RACH-less HO, rules specified for </w:t>
      </w:r>
      <w:r w:rsidRPr="0009636E">
        <w:rPr>
          <w:rFonts w:ascii="Times New Roman" w:eastAsia="宋体" w:hAnsi="Times New Roman"/>
          <w:bCs/>
          <w:i/>
          <w:sz w:val="20"/>
          <w:szCs w:val="20"/>
        </w:rPr>
        <w:t>PUSCH scheduled by Random Access grant</w:t>
      </w:r>
      <w:r>
        <w:rPr>
          <w:rFonts w:ascii="Times New Roman" w:eastAsia="宋体" w:hAnsi="Times New Roman"/>
          <w:bCs/>
          <w:i/>
          <w:sz w:val="20"/>
          <w:szCs w:val="20"/>
        </w:rPr>
        <w:t xml:space="preserve"> should be followed</w:t>
      </w:r>
      <w:r>
        <w:rPr>
          <w:rFonts w:ascii="Times New Roman" w:eastAsia="宋体" w:hAnsi="Times New Roman" w:hint="eastAsia"/>
          <w:bCs/>
          <w:i/>
          <w:sz w:val="20"/>
          <w:szCs w:val="20"/>
        </w:rPr>
        <w:t>.</w:t>
      </w:r>
    </w:p>
    <w:p w14:paraId="53D6E8F9"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76B47F8E" w14:textId="012C9D9A" w:rsidR="00B07019" w:rsidRDefault="002C6A1F" w:rsidP="0009636E">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sidR="00796C62">
        <w:rPr>
          <w:rFonts w:ascii="Times New Roman" w:eastAsia="宋体" w:hAnsi="Times New Roman" w:cs="Times New Roman"/>
          <w:sz w:val="20"/>
          <w:szCs w:val="20"/>
        </w:rPr>
        <w:t>the RAN2 questions are analyzed with following</w:t>
      </w:r>
      <w:r>
        <w:rPr>
          <w:rFonts w:ascii="Times New Roman" w:eastAsia="宋体" w:hAnsi="Times New Roman" w:cs="Times New Roman"/>
          <w:sz w:val="20"/>
          <w:szCs w:val="20"/>
        </w:rPr>
        <w:t xml:space="preserve"> proposals and observations:</w:t>
      </w:r>
    </w:p>
    <w:p w14:paraId="6DFC0C56" w14:textId="77777777" w:rsidR="00E175AB" w:rsidRDefault="00E175AB" w:rsidP="00E175AB">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For NTN RACH-less HO, both SSB-selection and association of resource with SSB(s) are not needed.</w:t>
      </w:r>
    </w:p>
    <w:p w14:paraId="1590DBA3" w14:textId="77777777" w:rsidR="0009636E" w:rsidRDefault="0009636E" w:rsidP="0009636E">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Beam selection is not needed to </w:t>
      </w:r>
      <w:r w:rsidRPr="00B30FE9">
        <w:rPr>
          <w:rFonts w:ascii="Times New Roman" w:eastAsia="宋体" w:hAnsi="Times New Roman" w:cs="Times New Roman"/>
          <w:sz w:val="20"/>
          <w:szCs w:val="20"/>
        </w:rPr>
        <w:t>monitor target cell PDCCH for dynamic grant for initial UL transmission</w:t>
      </w:r>
      <w:r>
        <w:rPr>
          <w:rFonts w:ascii="Times New Roman" w:eastAsia="宋体" w:hAnsi="Times New Roman" w:hint="eastAsia"/>
          <w:bCs/>
          <w:i/>
          <w:sz w:val="20"/>
          <w:szCs w:val="20"/>
        </w:rPr>
        <w:t>.</w:t>
      </w:r>
    </w:p>
    <w:p w14:paraId="09245795" w14:textId="77777777" w:rsidR="0009636E" w:rsidRDefault="0009636E" w:rsidP="0009636E">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Regarding power control for initial UL transmission in RACH-less HO, rules specified for </w:t>
      </w:r>
      <w:r w:rsidRPr="0009636E">
        <w:rPr>
          <w:rFonts w:ascii="Times New Roman" w:eastAsia="宋体" w:hAnsi="Times New Roman"/>
          <w:bCs/>
          <w:i/>
          <w:sz w:val="20"/>
          <w:szCs w:val="20"/>
        </w:rPr>
        <w:t>PUSCH scheduled by Random Access grant</w:t>
      </w:r>
      <w:r>
        <w:rPr>
          <w:rFonts w:ascii="Times New Roman" w:eastAsia="宋体" w:hAnsi="Times New Roman"/>
          <w:bCs/>
          <w:i/>
          <w:sz w:val="20"/>
          <w:szCs w:val="20"/>
        </w:rPr>
        <w:t xml:space="preserve"> should be followed</w:t>
      </w:r>
      <w:r>
        <w:rPr>
          <w:rFonts w:ascii="Times New Roman" w:eastAsia="宋体" w:hAnsi="Times New Roman" w:hint="eastAsia"/>
          <w:bCs/>
          <w:i/>
          <w:sz w:val="20"/>
          <w:szCs w:val="20"/>
        </w:rPr>
        <w:t>.</w:t>
      </w:r>
    </w:p>
    <w:p w14:paraId="71C5A45F" w14:textId="77777777" w:rsidR="00B07019" w:rsidRDefault="002C6A1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463FD3F0" w14:textId="50AE505C" w:rsidR="00B07019" w:rsidRDefault="00B30FE9">
      <w:pPr>
        <w:pStyle w:val="ListParagraph1"/>
        <w:numPr>
          <w:ilvl w:val="0"/>
          <w:numId w:val="7"/>
        </w:numPr>
        <w:spacing w:after="0" w:line="240" w:lineRule="auto"/>
        <w:ind w:left="505" w:hanging="505"/>
        <w:rPr>
          <w:rFonts w:ascii="Times New Roman" w:hAnsi="Times New Roman"/>
          <w:sz w:val="20"/>
          <w:szCs w:val="20"/>
        </w:rPr>
      </w:pPr>
      <w:bookmarkStart w:id="4" w:name="_Ref118468455"/>
      <w:bookmarkStart w:id="5" w:name="_Ref134655403"/>
      <w:bookmarkStart w:id="6" w:name="_Ref29548"/>
      <w:bookmarkStart w:id="7" w:name="_Ref1095"/>
      <w:r w:rsidRPr="00B30FE9">
        <w:rPr>
          <w:rFonts w:ascii="Times New Roman" w:hAnsi="Times New Roman"/>
          <w:sz w:val="20"/>
          <w:szCs w:val="20"/>
        </w:rPr>
        <w:t>R1-2304322</w:t>
      </w:r>
      <w:r w:rsidR="00174A24">
        <w:rPr>
          <w:rFonts w:ascii="Times New Roman" w:hAnsi="Times New Roman"/>
          <w:sz w:val="20"/>
          <w:szCs w:val="20"/>
        </w:rPr>
        <w:t xml:space="preserve"> </w:t>
      </w:r>
      <w:r w:rsidRPr="00B30FE9">
        <w:rPr>
          <w:rFonts w:ascii="Times New Roman" w:hAnsi="Times New Roman"/>
          <w:sz w:val="20"/>
          <w:szCs w:val="20"/>
        </w:rPr>
        <w:t>LS on RACH-less Handover</w:t>
      </w:r>
      <w:r w:rsidR="002C6A1F">
        <w:rPr>
          <w:rFonts w:ascii="Times New Roman" w:hAnsi="Times New Roman"/>
          <w:sz w:val="20"/>
          <w:szCs w:val="20"/>
        </w:rPr>
        <w:t>, RAN1#11</w:t>
      </w:r>
      <w:bookmarkEnd w:id="4"/>
      <w:r w:rsidR="00174A24">
        <w:rPr>
          <w:rFonts w:ascii="Times New Roman" w:hAnsi="Times New Roman"/>
          <w:sz w:val="20"/>
          <w:szCs w:val="20"/>
        </w:rPr>
        <w:t>3</w:t>
      </w:r>
      <w:bookmarkEnd w:id="5"/>
      <w:r w:rsidR="002C6A1F">
        <w:rPr>
          <w:rFonts w:ascii="Times New Roman" w:hAnsi="Times New Roman" w:hint="eastAsia"/>
          <w:sz w:val="20"/>
          <w:szCs w:val="20"/>
        </w:rPr>
        <w:t xml:space="preserve"> </w:t>
      </w:r>
      <w:bookmarkEnd w:id="6"/>
    </w:p>
    <w:bookmarkEnd w:id="7"/>
    <w:p w14:paraId="19B268BE" w14:textId="77777777" w:rsidR="00B07019" w:rsidRDefault="00B07019">
      <w:pPr>
        <w:pStyle w:val="ListParagraph1"/>
        <w:numPr>
          <w:ilvl w:val="255"/>
          <w:numId w:val="0"/>
        </w:numPr>
        <w:spacing w:after="0" w:line="20" w:lineRule="exact"/>
        <w:ind w:left="720"/>
        <w:rPr>
          <w:rFonts w:ascii="Times New Roman" w:hAnsi="Times New Roman"/>
          <w:sz w:val="20"/>
          <w:szCs w:val="20"/>
        </w:rPr>
      </w:pPr>
    </w:p>
    <w:sectPr w:rsidR="00B070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36679" w14:textId="77777777" w:rsidR="00FC2C6A" w:rsidRDefault="00FC2C6A">
      <w:pPr>
        <w:spacing w:line="240" w:lineRule="auto"/>
      </w:pPr>
      <w:r>
        <w:separator/>
      </w:r>
    </w:p>
  </w:endnote>
  <w:endnote w:type="continuationSeparator" w:id="0">
    <w:p w14:paraId="42EBCE07" w14:textId="77777777" w:rsidR="00FC2C6A" w:rsidRDefault="00FC2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8668" w14:textId="77777777" w:rsidR="00FC2C6A" w:rsidRDefault="00FC2C6A">
      <w:pPr>
        <w:spacing w:after="0"/>
      </w:pPr>
      <w:r>
        <w:separator/>
      </w:r>
    </w:p>
  </w:footnote>
  <w:footnote w:type="continuationSeparator" w:id="0">
    <w:p w14:paraId="15ABD96E" w14:textId="77777777" w:rsidR="00FC2C6A" w:rsidRDefault="00FC2C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3652523"/>
    <w:multiLevelType w:val="hybridMultilevel"/>
    <w:tmpl w:val="98FA3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6BB9"/>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23C"/>
    <w:rsid w:val="0003439E"/>
    <w:rsid w:val="00035FB8"/>
    <w:rsid w:val="00036AFC"/>
    <w:rsid w:val="00036B8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570EB"/>
    <w:rsid w:val="000600A4"/>
    <w:rsid w:val="000630EA"/>
    <w:rsid w:val="00063D6A"/>
    <w:rsid w:val="0006445C"/>
    <w:rsid w:val="00064C14"/>
    <w:rsid w:val="00065FC8"/>
    <w:rsid w:val="00066C43"/>
    <w:rsid w:val="00066E94"/>
    <w:rsid w:val="00067072"/>
    <w:rsid w:val="000707AD"/>
    <w:rsid w:val="00070972"/>
    <w:rsid w:val="00070A33"/>
    <w:rsid w:val="000726E4"/>
    <w:rsid w:val="00074CEC"/>
    <w:rsid w:val="00075D81"/>
    <w:rsid w:val="000771C3"/>
    <w:rsid w:val="00082E56"/>
    <w:rsid w:val="00083768"/>
    <w:rsid w:val="00085425"/>
    <w:rsid w:val="0008799A"/>
    <w:rsid w:val="0009076A"/>
    <w:rsid w:val="00091DB0"/>
    <w:rsid w:val="000929D3"/>
    <w:rsid w:val="000949B4"/>
    <w:rsid w:val="0009612B"/>
    <w:rsid w:val="0009636E"/>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3D60"/>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62F0"/>
    <w:rsid w:val="000F7322"/>
    <w:rsid w:val="000F785C"/>
    <w:rsid w:val="000F7F6B"/>
    <w:rsid w:val="00102955"/>
    <w:rsid w:val="001030E2"/>
    <w:rsid w:val="00103A1D"/>
    <w:rsid w:val="00103ADE"/>
    <w:rsid w:val="001040A3"/>
    <w:rsid w:val="001042A2"/>
    <w:rsid w:val="001053A6"/>
    <w:rsid w:val="00111BF3"/>
    <w:rsid w:val="001125EE"/>
    <w:rsid w:val="001140B1"/>
    <w:rsid w:val="0011457F"/>
    <w:rsid w:val="001164E7"/>
    <w:rsid w:val="00116D16"/>
    <w:rsid w:val="001175A0"/>
    <w:rsid w:val="0011771D"/>
    <w:rsid w:val="00117825"/>
    <w:rsid w:val="00120E8A"/>
    <w:rsid w:val="00122358"/>
    <w:rsid w:val="0012343B"/>
    <w:rsid w:val="00123A6A"/>
    <w:rsid w:val="001277FA"/>
    <w:rsid w:val="00127950"/>
    <w:rsid w:val="00130DB6"/>
    <w:rsid w:val="001310AF"/>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0690"/>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A24"/>
    <w:rsid w:val="00174EE5"/>
    <w:rsid w:val="00176371"/>
    <w:rsid w:val="00176496"/>
    <w:rsid w:val="001767AB"/>
    <w:rsid w:val="00176870"/>
    <w:rsid w:val="00176CE4"/>
    <w:rsid w:val="00177052"/>
    <w:rsid w:val="0018253F"/>
    <w:rsid w:val="00183086"/>
    <w:rsid w:val="0018409B"/>
    <w:rsid w:val="0018415A"/>
    <w:rsid w:val="00185634"/>
    <w:rsid w:val="00185B2D"/>
    <w:rsid w:val="00186285"/>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BE9"/>
    <w:rsid w:val="001D308C"/>
    <w:rsid w:val="001D3FCD"/>
    <w:rsid w:val="001D4C5A"/>
    <w:rsid w:val="001D59E7"/>
    <w:rsid w:val="001D6198"/>
    <w:rsid w:val="001D63E6"/>
    <w:rsid w:val="001D7DDA"/>
    <w:rsid w:val="001E0A95"/>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429B"/>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2F"/>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128D"/>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559CD"/>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07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471D"/>
    <w:rsid w:val="003D4931"/>
    <w:rsid w:val="003D645F"/>
    <w:rsid w:val="003D77D6"/>
    <w:rsid w:val="003E0171"/>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26CF4"/>
    <w:rsid w:val="004301DE"/>
    <w:rsid w:val="0043065A"/>
    <w:rsid w:val="004318CA"/>
    <w:rsid w:val="00431B46"/>
    <w:rsid w:val="00431D3C"/>
    <w:rsid w:val="004320D1"/>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093A"/>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2AFA"/>
    <w:rsid w:val="005776B3"/>
    <w:rsid w:val="00577B25"/>
    <w:rsid w:val="00577FA3"/>
    <w:rsid w:val="005800AE"/>
    <w:rsid w:val="005818F2"/>
    <w:rsid w:val="00583585"/>
    <w:rsid w:val="00584402"/>
    <w:rsid w:val="0058467B"/>
    <w:rsid w:val="00584754"/>
    <w:rsid w:val="005847B4"/>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3257"/>
    <w:rsid w:val="005B4101"/>
    <w:rsid w:val="005B4921"/>
    <w:rsid w:val="005B4E40"/>
    <w:rsid w:val="005B55FD"/>
    <w:rsid w:val="005B563C"/>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361A"/>
    <w:rsid w:val="00664290"/>
    <w:rsid w:val="006651B0"/>
    <w:rsid w:val="006652A5"/>
    <w:rsid w:val="006679C0"/>
    <w:rsid w:val="0067386F"/>
    <w:rsid w:val="00673B49"/>
    <w:rsid w:val="00673CD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58DB"/>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6C62"/>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0DDB"/>
    <w:rsid w:val="007B1EAD"/>
    <w:rsid w:val="007B2155"/>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3232"/>
    <w:rsid w:val="00845237"/>
    <w:rsid w:val="0084566C"/>
    <w:rsid w:val="008463DA"/>
    <w:rsid w:val="00846BA7"/>
    <w:rsid w:val="0084703B"/>
    <w:rsid w:val="0084712E"/>
    <w:rsid w:val="0085082A"/>
    <w:rsid w:val="0085124E"/>
    <w:rsid w:val="00853AB1"/>
    <w:rsid w:val="00853BE7"/>
    <w:rsid w:val="0085425D"/>
    <w:rsid w:val="00854B30"/>
    <w:rsid w:val="008551DD"/>
    <w:rsid w:val="00860235"/>
    <w:rsid w:val="008612D6"/>
    <w:rsid w:val="00861E8C"/>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12BA"/>
    <w:rsid w:val="00903327"/>
    <w:rsid w:val="009033E1"/>
    <w:rsid w:val="00904876"/>
    <w:rsid w:val="00904A4E"/>
    <w:rsid w:val="0090680C"/>
    <w:rsid w:val="00906E21"/>
    <w:rsid w:val="00907734"/>
    <w:rsid w:val="009077A1"/>
    <w:rsid w:val="00910209"/>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956"/>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629"/>
    <w:rsid w:val="009546E6"/>
    <w:rsid w:val="00954CFA"/>
    <w:rsid w:val="0095615D"/>
    <w:rsid w:val="009562E2"/>
    <w:rsid w:val="00956DE4"/>
    <w:rsid w:val="009668B8"/>
    <w:rsid w:val="0096717D"/>
    <w:rsid w:val="0096751C"/>
    <w:rsid w:val="009679E4"/>
    <w:rsid w:val="009706AB"/>
    <w:rsid w:val="00971E51"/>
    <w:rsid w:val="0097331E"/>
    <w:rsid w:val="0097384E"/>
    <w:rsid w:val="009738C4"/>
    <w:rsid w:val="00974B8B"/>
    <w:rsid w:val="00975429"/>
    <w:rsid w:val="00975FE1"/>
    <w:rsid w:val="00976332"/>
    <w:rsid w:val="00976F12"/>
    <w:rsid w:val="009771BE"/>
    <w:rsid w:val="009773DA"/>
    <w:rsid w:val="00977D7C"/>
    <w:rsid w:val="00980649"/>
    <w:rsid w:val="00980C63"/>
    <w:rsid w:val="009817F8"/>
    <w:rsid w:val="00981FCC"/>
    <w:rsid w:val="0098338E"/>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9CA"/>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067A1"/>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2C8A"/>
    <w:rsid w:val="00AB50D9"/>
    <w:rsid w:val="00AB531C"/>
    <w:rsid w:val="00AB537C"/>
    <w:rsid w:val="00AB64AA"/>
    <w:rsid w:val="00AB6D56"/>
    <w:rsid w:val="00AC05F8"/>
    <w:rsid w:val="00AC0699"/>
    <w:rsid w:val="00AC259E"/>
    <w:rsid w:val="00AC436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BF6"/>
    <w:rsid w:val="00B12694"/>
    <w:rsid w:val="00B1405C"/>
    <w:rsid w:val="00B14614"/>
    <w:rsid w:val="00B15699"/>
    <w:rsid w:val="00B158FA"/>
    <w:rsid w:val="00B15C45"/>
    <w:rsid w:val="00B1608D"/>
    <w:rsid w:val="00B161C5"/>
    <w:rsid w:val="00B16B67"/>
    <w:rsid w:val="00B16BE5"/>
    <w:rsid w:val="00B17984"/>
    <w:rsid w:val="00B17FCC"/>
    <w:rsid w:val="00B2138C"/>
    <w:rsid w:val="00B21EC6"/>
    <w:rsid w:val="00B23076"/>
    <w:rsid w:val="00B2484B"/>
    <w:rsid w:val="00B24A00"/>
    <w:rsid w:val="00B24F64"/>
    <w:rsid w:val="00B25439"/>
    <w:rsid w:val="00B30102"/>
    <w:rsid w:val="00B30FE9"/>
    <w:rsid w:val="00B310C0"/>
    <w:rsid w:val="00B31540"/>
    <w:rsid w:val="00B31606"/>
    <w:rsid w:val="00B32D35"/>
    <w:rsid w:val="00B3399A"/>
    <w:rsid w:val="00B33E8A"/>
    <w:rsid w:val="00B3420B"/>
    <w:rsid w:val="00B34BB6"/>
    <w:rsid w:val="00B367C9"/>
    <w:rsid w:val="00B36BF1"/>
    <w:rsid w:val="00B36CCF"/>
    <w:rsid w:val="00B37646"/>
    <w:rsid w:val="00B408D6"/>
    <w:rsid w:val="00B40AEE"/>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87A7E"/>
    <w:rsid w:val="00B901D2"/>
    <w:rsid w:val="00B92741"/>
    <w:rsid w:val="00B929BC"/>
    <w:rsid w:val="00B92A67"/>
    <w:rsid w:val="00B94B68"/>
    <w:rsid w:val="00B95691"/>
    <w:rsid w:val="00B95E2F"/>
    <w:rsid w:val="00B978BD"/>
    <w:rsid w:val="00B979BA"/>
    <w:rsid w:val="00BA00FF"/>
    <w:rsid w:val="00BA0E38"/>
    <w:rsid w:val="00BA25B0"/>
    <w:rsid w:val="00BA2D63"/>
    <w:rsid w:val="00BA3D28"/>
    <w:rsid w:val="00BA43EB"/>
    <w:rsid w:val="00BA5F85"/>
    <w:rsid w:val="00BA6C50"/>
    <w:rsid w:val="00BA74BB"/>
    <w:rsid w:val="00BA75F8"/>
    <w:rsid w:val="00BA767D"/>
    <w:rsid w:val="00BB0826"/>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2E0"/>
    <w:rsid w:val="00C075FA"/>
    <w:rsid w:val="00C07772"/>
    <w:rsid w:val="00C11DEF"/>
    <w:rsid w:val="00C152CA"/>
    <w:rsid w:val="00C15FE1"/>
    <w:rsid w:val="00C17E1D"/>
    <w:rsid w:val="00C20B8F"/>
    <w:rsid w:val="00C20B9A"/>
    <w:rsid w:val="00C216AF"/>
    <w:rsid w:val="00C219D5"/>
    <w:rsid w:val="00C223FE"/>
    <w:rsid w:val="00C2308D"/>
    <w:rsid w:val="00C23183"/>
    <w:rsid w:val="00C244BD"/>
    <w:rsid w:val="00C2562B"/>
    <w:rsid w:val="00C25E8A"/>
    <w:rsid w:val="00C278C9"/>
    <w:rsid w:val="00C3040E"/>
    <w:rsid w:val="00C30416"/>
    <w:rsid w:val="00C30A6F"/>
    <w:rsid w:val="00C30B3E"/>
    <w:rsid w:val="00C30DF3"/>
    <w:rsid w:val="00C318DE"/>
    <w:rsid w:val="00C33453"/>
    <w:rsid w:val="00C344B5"/>
    <w:rsid w:val="00C34B07"/>
    <w:rsid w:val="00C401DE"/>
    <w:rsid w:val="00C405C9"/>
    <w:rsid w:val="00C4392B"/>
    <w:rsid w:val="00C44850"/>
    <w:rsid w:val="00C460E4"/>
    <w:rsid w:val="00C463DC"/>
    <w:rsid w:val="00C47B74"/>
    <w:rsid w:val="00C5050F"/>
    <w:rsid w:val="00C50F47"/>
    <w:rsid w:val="00C52198"/>
    <w:rsid w:val="00C524B6"/>
    <w:rsid w:val="00C531FA"/>
    <w:rsid w:val="00C534E7"/>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77F8C"/>
    <w:rsid w:val="00C80319"/>
    <w:rsid w:val="00C81A12"/>
    <w:rsid w:val="00C81C69"/>
    <w:rsid w:val="00C83DD4"/>
    <w:rsid w:val="00C847ED"/>
    <w:rsid w:val="00C85BFF"/>
    <w:rsid w:val="00C873A4"/>
    <w:rsid w:val="00C90EA9"/>
    <w:rsid w:val="00C914F4"/>
    <w:rsid w:val="00CA0D4F"/>
    <w:rsid w:val="00CA1224"/>
    <w:rsid w:val="00CA1397"/>
    <w:rsid w:val="00CA519E"/>
    <w:rsid w:val="00CA7DE4"/>
    <w:rsid w:val="00CB165F"/>
    <w:rsid w:val="00CB18A2"/>
    <w:rsid w:val="00CB1C5E"/>
    <w:rsid w:val="00CB2FE4"/>
    <w:rsid w:val="00CB3621"/>
    <w:rsid w:val="00CB4A68"/>
    <w:rsid w:val="00CB67DC"/>
    <w:rsid w:val="00CC01A1"/>
    <w:rsid w:val="00CC0C01"/>
    <w:rsid w:val="00CC0DDC"/>
    <w:rsid w:val="00CC1380"/>
    <w:rsid w:val="00CC4052"/>
    <w:rsid w:val="00CC47FF"/>
    <w:rsid w:val="00CC4B2C"/>
    <w:rsid w:val="00CC65FC"/>
    <w:rsid w:val="00CC7D91"/>
    <w:rsid w:val="00CD0028"/>
    <w:rsid w:val="00CD08DD"/>
    <w:rsid w:val="00CD1A96"/>
    <w:rsid w:val="00CD25B7"/>
    <w:rsid w:val="00CD2824"/>
    <w:rsid w:val="00CD2BB2"/>
    <w:rsid w:val="00CD338F"/>
    <w:rsid w:val="00CD6203"/>
    <w:rsid w:val="00CD7641"/>
    <w:rsid w:val="00CE05DB"/>
    <w:rsid w:val="00CE0777"/>
    <w:rsid w:val="00CE1474"/>
    <w:rsid w:val="00CE2393"/>
    <w:rsid w:val="00CE244A"/>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255"/>
    <w:rsid w:val="00D01374"/>
    <w:rsid w:val="00D02E0E"/>
    <w:rsid w:val="00D02E57"/>
    <w:rsid w:val="00D03028"/>
    <w:rsid w:val="00D030AA"/>
    <w:rsid w:val="00D05292"/>
    <w:rsid w:val="00D05363"/>
    <w:rsid w:val="00D05C99"/>
    <w:rsid w:val="00D05D20"/>
    <w:rsid w:val="00D07E6C"/>
    <w:rsid w:val="00D125AC"/>
    <w:rsid w:val="00D12F0D"/>
    <w:rsid w:val="00D12F91"/>
    <w:rsid w:val="00D13E2D"/>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2997"/>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247"/>
    <w:rsid w:val="00D8078E"/>
    <w:rsid w:val="00D823BA"/>
    <w:rsid w:val="00D8377A"/>
    <w:rsid w:val="00D83D65"/>
    <w:rsid w:val="00D84ED5"/>
    <w:rsid w:val="00D85B18"/>
    <w:rsid w:val="00D85ED0"/>
    <w:rsid w:val="00D86B87"/>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0D7"/>
    <w:rsid w:val="00DB15E7"/>
    <w:rsid w:val="00DB1B75"/>
    <w:rsid w:val="00DB3214"/>
    <w:rsid w:val="00DB70E3"/>
    <w:rsid w:val="00DB7338"/>
    <w:rsid w:val="00DB7D09"/>
    <w:rsid w:val="00DB7FF7"/>
    <w:rsid w:val="00DC161E"/>
    <w:rsid w:val="00DC2C88"/>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5997"/>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0F1"/>
    <w:rsid w:val="00E1667F"/>
    <w:rsid w:val="00E16DBC"/>
    <w:rsid w:val="00E175AB"/>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1B0"/>
    <w:rsid w:val="00E60509"/>
    <w:rsid w:val="00E605AB"/>
    <w:rsid w:val="00E623C6"/>
    <w:rsid w:val="00E62731"/>
    <w:rsid w:val="00E6464A"/>
    <w:rsid w:val="00E67278"/>
    <w:rsid w:val="00E7083A"/>
    <w:rsid w:val="00E717EE"/>
    <w:rsid w:val="00E7215F"/>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4C67"/>
    <w:rsid w:val="00E95A8F"/>
    <w:rsid w:val="00E96979"/>
    <w:rsid w:val="00EA0033"/>
    <w:rsid w:val="00EA0F38"/>
    <w:rsid w:val="00EA13AE"/>
    <w:rsid w:val="00EA47C3"/>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0D71"/>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313E"/>
    <w:rsid w:val="00F2403F"/>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3AD3"/>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02F2"/>
    <w:rsid w:val="00FA1036"/>
    <w:rsid w:val="00FA24EA"/>
    <w:rsid w:val="00FA28C3"/>
    <w:rsid w:val="00FA2C5B"/>
    <w:rsid w:val="00FA35F6"/>
    <w:rsid w:val="00FA3E01"/>
    <w:rsid w:val="00FA45B1"/>
    <w:rsid w:val="00FB1A96"/>
    <w:rsid w:val="00FB3C5A"/>
    <w:rsid w:val="00FB59C1"/>
    <w:rsid w:val="00FB635B"/>
    <w:rsid w:val="00FB7CBA"/>
    <w:rsid w:val="00FC03C1"/>
    <w:rsid w:val="00FC109E"/>
    <w:rsid w:val="00FC1AFA"/>
    <w:rsid w:val="00FC2C6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8E0FDF"/>
    <w:rsid w:val="3E93172F"/>
    <w:rsid w:val="3EA51E2C"/>
    <w:rsid w:val="3EAC040D"/>
    <w:rsid w:val="3EE50717"/>
    <w:rsid w:val="3EF34B07"/>
    <w:rsid w:val="3F1617B9"/>
    <w:rsid w:val="3F72094D"/>
    <w:rsid w:val="3F897CE4"/>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3F1B6"/>
  <w15:docId w15:val="{913A4062-2905-4DC3-AFB7-A298FA57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23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7FC31C-06F1-44D9-815C-A260161D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cp:revision>
  <dcterms:created xsi:type="dcterms:W3CDTF">2023-05-13T09:52:00Z</dcterms:created>
  <dcterms:modified xsi:type="dcterms:W3CDTF">2023-05-15T05:48:00Z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